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22E" w:rsidRDefault="0074622E" w:rsidP="0074622E">
      <w:pPr>
        <w:spacing w:after="240" w:line="330" w:lineRule="atLeast"/>
        <w:jc w:val="center"/>
        <w:textAlignment w:val="baseline"/>
        <w:outlineLvl w:val="2"/>
        <w:rPr>
          <w:rFonts w:ascii="Arial" w:eastAsia="Times New Roman" w:hAnsi="Arial" w:cs="Arial"/>
          <w:b/>
          <w:bCs/>
          <w:color w:val="444444"/>
          <w:sz w:val="24"/>
          <w:szCs w:val="24"/>
          <w:lang w:eastAsia="ru-RU"/>
        </w:rPr>
      </w:pPr>
      <w:bookmarkStart w:id="0" w:name="_GoBack"/>
      <w:r w:rsidRPr="0074622E">
        <w:rPr>
          <w:rFonts w:ascii="Arial" w:eastAsia="Times New Roman" w:hAnsi="Arial" w:cs="Arial"/>
          <w:b/>
          <w:bCs/>
          <w:color w:val="444444"/>
          <w:sz w:val="24"/>
          <w:szCs w:val="24"/>
          <w:lang w:eastAsia="ru-RU"/>
        </w:rPr>
        <w:t>Описание мер,</w:t>
      </w:r>
    </w:p>
    <w:p w:rsidR="0074622E" w:rsidRPr="0074622E" w:rsidRDefault="0074622E" w:rsidP="0074622E">
      <w:pPr>
        <w:spacing w:after="240" w:line="330" w:lineRule="atLeast"/>
        <w:jc w:val="center"/>
        <w:textAlignment w:val="baseline"/>
        <w:outlineLvl w:val="2"/>
        <w:rPr>
          <w:rFonts w:ascii="Arial" w:eastAsia="Times New Roman" w:hAnsi="Arial" w:cs="Arial"/>
          <w:b/>
          <w:bCs/>
          <w:color w:val="444444"/>
          <w:sz w:val="24"/>
          <w:szCs w:val="24"/>
          <w:lang w:eastAsia="ru-RU"/>
        </w:rPr>
      </w:pPr>
      <w:r w:rsidRPr="0074622E">
        <w:rPr>
          <w:rFonts w:ascii="Arial" w:eastAsia="Times New Roman" w:hAnsi="Arial" w:cs="Arial"/>
          <w:b/>
          <w:bCs/>
          <w:color w:val="444444"/>
          <w:sz w:val="24"/>
          <w:szCs w:val="24"/>
          <w:lang w:eastAsia="ru-RU"/>
        </w:rPr>
        <w:t>направленных на повышение объективности оценки образовательных результатов</w:t>
      </w:r>
    </w:p>
    <w:bookmarkEnd w:id="0"/>
    <w:p w:rsidR="0074622E" w:rsidRPr="0074622E" w:rsidRDefault="0074622E" w:rsidP="0074622E">
      <w:pPr>
        <w:spacing w:after="240" w:line="330" w:lineRule="atLeast"/>
        <w:jc w:val="center"/>
        <w:textAlignment w:val="baseline"/>
        <w:outlineLvl w:val="2"/>
        <w:rPr>
          <w:rFonts w:ascii="Arial" w:eastAsia="Times New Roman" w:hAnsi="Arial" w:cs="Arial"/>
          <w:b/>
          <w:bCs/>
          <w:color w:val="444444"/>
          <w:sz w:val="24"/>
          <w:szCs w:val="24"/>
          <w:lang w:eastAsia="ru-RU"/>
        </w:rPr>
      </w:pPr>
      <w:r w:rsidRPr="0074622E">
        <w:rPr>
          <w:rFonts w:ascii="Arial" w:eastAsia="Times New Roman" w:hAnsi="Arial" w:cs="Arial"/>
          <w:b/>
          <w:bCs/>
          <w:color w:val="444444"/>
          <w:sz w:val="24"/>
          <w:szCs w:val="24"/>
          <w:lang w:eastAsia="ru-RU"/>
        </w:rPr>
        <w:t>Основные подходы</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Для повышения объективности оценки образовательных результатов рекомендуется организовать комплексные мероприятия по трем направлениям:</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1. Обеспечение объективности образовательных результатов в рамках конкретной оценочной процедуры в образовательных организациях.</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2. Выявление ОО с необъективными результатами и профилактическая работа с выявленными ОО.</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3. Формирование у участников образовательных отношений позитивного отношения к объективной оценке образовательных результатов.</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 xml:space="preserve">Наиболее эффективным является комплексное сочетание всех трех подходов и создание на их основе действенной системы, при которой все участники образовательных отношений заинтересованы в объективной оценке образовательных результатов, и одновременно принимаются всесторонние меры для обеспечения объективности результатов при проведении </w:t>
      </w:r>
      <w:proofErr w:type="gramStart"/>
      <w:r w:rsidRPr="0074622E">
        <w:rPr>
          <w:rFonts w:ascii="Arial" w:eastAsia="Times New Roman" w:hAnsi="Arial" w:cs="Arial"/>
          <w:color w:val="444444"/>
          <w:sz w:val="24"/>
          <w:szCs w:val="24"/>
          <w:lang w:eastAsia="ru-RU"/>
        </w:rPr>
        <w:t>всех мероприятий</w:t>
      </w:r>
      <w:proofErr w:type="gramEnd"/>
      <w:r w:rsidRPr="0074622E">
        <w:rPr>
          <w:rFonts w:ascii="Arial" w:eastAsia="Times New Roman" w:hAnsi="Arial" w:cs="Arial"/>
          <w:color w:val="444444"/>
          <w:sz w:val="24"/>
          <w:szCs w:val="24"/>
          <w:lang w:eastAsia="ru-RU"/>
        </w:rPr>
        <w:t xml:space="preserve"> по оценке качества образования.</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Ниже представлено более детальное описание каждого подхода.</w:t>
      </w:r>
    </w:p>
    <w:p w:rsidR="0074622E" w:rsidRPr="0074622E" w:rsidRDefault="0074622E" w:rsidP="0074622E">
      <w:pPr>
        <w:spacing w:after="240" w:line="330" w:lineRule="atLeast"/>
        <w:jc w:val="center"/>
        <w:textAlignment w:val="baseline"/>
        <w:outlineLvl w:val="3"/>
        <w:rPr>
          <w:rFonts w:ascii="Arial" w:eastAsia="Times New Roman" w:hAnsi="Arial" w:cs="Arial"/>
          <w:b/>
          <w:bCs/>
          <w:color w:val="444444"/>
          <w:sz w:val="24"/>
          <w:szCs w:val="24"/>
          <w:lang w:eastAsia="ru-RU"/>
        </w:rPr>
      </w:pPr>
      <w:r w:rsidRPr="0074622E">
        <w:rPr>
          <w:rFonts w:ascii="Arial" w:eastAsia="Times New Roman" w:hAnsi="Arial" w:cs="Arial"/>
          <w:b/>
          <w:bCs/>
          <w:color w:val="444444"/>
          <w:sz w:val="24"/>
          <w:szCs w:val="24"/>
          <w:lang w:eastAsia="ru-RU"/>
        </w:rPr>
        <w:t>Подход 1: обеспечение объективности образовательных результатов в рамках конкретной оценочной процедуры в образовательных организациях</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Для обеспечения возможности получения в рамках конкретной оценочной процедуры объективных результатов необходимо выполнение следующих условий.</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1. Наличие описания оценочной процедуры, закрепляющего соответствие этой оценочной процедуры следующим принципам:</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а. использование научно обоснованной концепции и качественных контрольных измерительных материалов;</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б. применение единых организационно-технологических решений, мер защиты информации;</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в. привлечение квалифицированных специалистов на всех этапах;</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г. устранение конфликта интересов в отношении всех специалистов, привлеченных к проведению оценочной процедуры.</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2. Организация на региональном и/или муниципальном уровнях контроля соблюдения всех положений и регламентов, приведенных в описании оценочной процедуры. Контроль может, в том числе, осуществляться посредством:</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а. привлечения независимых, общественных наблюдателей;</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б. выезда в пункты проведения представителей муниципальных и региональных ОИВ;</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в. организации видеонаблюдения и т.п.</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lastRenderedPageBreak/>
        <w:t>Условие отсутствия конфликта интересов означает, в том числе, что необходимо соблюдать следующие требования:</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 в качестве наблюдателей не могут выступать родители учащихся класса, который принимает участие в оценочной процедуре;</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 учитель, ведущий данный предмет и работающий в данном классе, не должен выступать организатором работы и участвовать в проверке работ;</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 проверка работ должна проводиться по стандартизированным критериям с предварительным коллегиальным обсуждением подходов к оцениванию.</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Более детально рекомендации по организации и проведению независимых процедур оценки качества образования представлены в </w:t>
      </w:r>
      <w:hyperlink r:id="rId4" w:anchor="7DC0K6" w:history="1">
        <w:r w:rsidRPr="0074622E">
          <w:rPr>
            <w:rFonts w:ascii="Arial" w:eastAsia="Times New Roman" w:hAnsi="Arial" w:cs="Arial"/>
            <w:color w:val="3451A0"/>
            <w:sz w:val="24"/>
            <w:szCs w:val="24"/>
            <w:u w:val="single"/>
            <w:lang w:eastAsia="ru-RU"/>
          </w:rPr>
          <w:t>приложении 1</w:t>
        </w:r>
      </w:hyperlink>
      <w:r w:rsidRPr="0074622E">
        <w:rPr>
          <w:rFonts w:ascii="Arial" w:eastAsia="Times New Roman" w:hAnsi="Arial" w:cs="Arial"/>
          <w:color w:val="444444"/>
          <w:sz w:val="24"/>
          <w:szCs w:val="24"/>
          <w:lang w:eastAsia="ru-RU"/>
        </w:rPr>
        <w:t>.</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Указанные условия соблюдены при проведении единого государственного экзамена, национальных исследований качества образования (НИКО), международных сравнительных исследований.</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При организации каждой оценочной процедуры регионального и/или муниципального уровней необходима разработка аналогичного описания на основании рекомендаций, содержащихся в </w:t>
      </w:r>
      <w:hyperlink r:id="rId5" w:anchor="7DC0K6" w:history="1">
        <w:r w:rsidRPr="0074622E">
          <w:rPr>
            <w:rFonts w:ascii="Arial" w:eastAsia="Times New Roman" w:hAnsi="Arial" w:cs="Arial"/>
            <w:color w:val="3451A0"/>
            <w:sz w:val="24"/>
            <w:szCs w:val="24"/>
            <w:u w:val="single"/>
            <w:lang w:eastAsia="ru-RU"/>
          </w:rPr>
          <w:t>приложении 1</w:t>
        </w:r>
      </w:hyperlink>
      <w:r w:rsidRPr="0074622E">
        <w:rPr>
          <w:rFonts w:ascii="Arial" w:eastAsia="Times New Roman" w:hAnsi="Arial" w:cs="Arial"/>
          <w:color w:val="444444"/>
          <w:sz w:val="24"/>
          <w:szCs w:val="24"/>
          <w:lang w:eastAsia="ru-RU"/>
        </w:rPr>
        <w:t>, а также контроль соблюдения всех положений и регламентов разработанного описания.</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При организации всероссийских проверочных работ необходима разработка регионального регламента их проведения, типовых регламентов для ОО, касающихся вопросов проведения ВПР в ОО и обеспечения объективности результатов, а также контроль соблюдения всех принятых регламентов.</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Примечание. Выполнение указанных условий для ВПР в части контроля является весьма ресурсоемким, поскольку требует направления в ОО независимых наблюдателей для проведения самих процедур и привлечения независимых экспертов для оценки работ участников ВПР. В связи с этим данный подход в рамках ВПР может быть применен только в ограниченном количестве ОО. В остальных ОО рекомендуется применять сочетание второго и третьего подходов, представленных ниже.</w:t>
      </w:r>
      <w:r w:rsidRPr="0074622E">
        <w:rPr>
          <w:rFonts w:ascii="Arial" w:eastAsia="Times New Roman" w:hAnsi="Arial" w:cs="Arial"/>
          <w:color w:val="444444"/>
          <w:sz w:val="24"/>
          <w:szCs w:val="24"/>
          <w:lang w:eastAsia="ru-RU"/>
        </w:rPr>
        <w:br/>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br/>
      </w:r>
    </w:p>
    <w:p w:rsidR="0074622E" w:rsidRPr="0074622E" w:rsidRDefault="0074622E" w:rsidP="0074622E">
      <w:pPr>
        <w:spacing w:after="240" w:line="330" w:lineRule="atLeast"/>
        <w:jc w:val="center"/>
        <w:textAlignment w:val="baseline"/>
        <w:outlineLvl w:val="3"/>
        <w:rPr>
          <w:rFonts w:ascii="Arial" w:eastAsia="Times New Roman" w:hAnsi="Arial" w:cs="Arial"/>
          <w:b/>
          <w:bCs/>
          <w:color w:val="444444"/>
          <w:sz w:val="24"/>
          <w:szCs w:val="24"/>
          <w:lang w:eastAsia="ru-RU"/>
        </w:rPr>
      </w:pPr>
      <w:r w:rsidRPr="0074622E">
        <w:rPr>
          <w:rFonts w:ascii="Arial" w:eastAsia="Times New Roman" w:hAnsi="Arial" w:cs="Arial"/>
          <w:b/>
          <w:bCs/>
          <w:color w:val="444444"/>
          <w:sz w:val="24"/>
          <w:szCs w:val="24"/>
          <w:lang w:eastAsia="ru-RU"/>
        </w:rPr>
        <w:t>Подход 2: выявление ОО с необъективными результатами и профилактическая работа с выявленными ОО</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Выявление ОО с необъективными результатами оценочной процедуры федерального или регионального уровня может осуществляться аналитическими методами, с использованием:</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 оценки доверительного интервала среднего балла для ОО относительно группы ОО из данного региона;</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 оценки доверительного интервала процента выполнения каждого задания по каждой ОО, участвовавшей в оценочной процедуре, относительно контрольной выборки ОО;</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 сравнения результатов ОО с результатами ОО контрольной группы, с учетом контекстных данных об ОО;</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lastRenderedPageBreak/>
        <w:t>- сравнения уровня результатов оценочной процедуры в ОО с уровнем результатов ЕГЭ с учетом контекстных данных об ОО;</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 других подходов.</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Примечания.</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Контрольная выборка ОО включает те ОО, в которых реализован первый подход или хотя бы обеспечено присутствие независимых наблюдателей на всех стадиях проведения оценочной процедуры. Поскольку контрольная выборка ОО должна быть достаточно большой (не менее 150 ОО), ее формирование возможно только в случае проведения массовых оценочных процедур, например, ВПР или региональных оценочных процедур с участием большинства ОО региона.</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При использовании статистических методов выявления ОО с необъективными результатами может быть применен кластерный подход.</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Признаком необъективности оценивания образовательных результатов в ОО может также служить наличие выпускников ОО, получивших золотые медали и имеющих низкие результаты ЕГЭ.</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В случае обнаружения признаков недостоверности результатов в ОО рекомендуется:</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 осуществить перепроверку результатов;</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 в случае подтверждения недостоверности результатов выработать комплекс мер в отношении данной ОО.</w:t>
      </w:r>
    </w:p>
    <w:p w:rsidR="0074622E" w:rsidRPr="0074622E" w:rsidRDefault="0074622E" w:rsidP="0074622E">
      <w:pPr>
        <w:spacing w:after="240" w:line="330" w:lineRule="atLeast"/>
        <w:jc w:val="center"/>
        <w:textAlignment w:val="baseline"/>
        <w:outlineLvl w:val="3"/>
        <w:rPr>
          <w:rFonts w:ascii="Arial" w:eastAsia="Times New Roman" w:hAnsi="Arial" w:cs="Arial"/>
          <w:b/>
          <w:bCs/>
          <w:color w:val="444444"/>
          <w:sz w:val="24"/>
          <w:szCs w:val="24"/>
          <w:lang w:eastAsia="ru-RU"/>
        </w:rPr>
      </w:pPr>
      <w:r w:rsidRPr="0074622E">
        <w:rPr>
          <w:rFonts w:ascii="Arial" w:eastAsia="Times New Roman" w:hAnsi="Arial" w:cs="Arial"/>
          <w:b/>
          <w:bCs/>
          <w:color w:val="444444"/>
          <w:sz w:val="24"/>
          <w:szCs w:val="24"/>
          <w:lang w:eastAsia="ru-RU"/>
        </w:rPr>
        <w:t>Подход 3: формирование у участников образовательных отношений позитивного отношения к объективной оценке образовательных результатов</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Для формирования у участников образовательных отношений позитивного отношения к объективной оценке образовательных результатов, рекомендуется применять следующие меры:</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 реализовывать в приоритетном порядке программы помощи ОО с низкими результатами, программы помощи учителям, имеющим профессиональные проблемы и дефициты, руководителям ОО, в которых есть проблемы с организацией образовательного процесса и т.п.; во всех перечисленных случаях применять меры административного воздействия, только если программы помощи не приводят к позитивным сдвигам в результатах;</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 использовать для оценки деятельности педагога результаты, показанные его учениками (в независимых оценочных процедурах, соответствующих рекомендациям </w:t>
      </w:r>
      <w:hyperlink r:id="rId6" w:anchor="7DC0K6" w:history="1">
        <w:r w:rsidRPr="0074622E">
          <w:rPr>
            <w:rFonts w:ascii="Arial" w:eastAsia="Times New Roman" w:hAnsi="Arial" w:cs="Arial"/>
            <w:color w:val="3451A0"/>
            <w:sz w:val="24"/>
            <w:szCs w:val="24"/>
            <w:u w:val="single"/>
            <w:lang w:eastAsia="ru-RU"/>
          </w:rPr>
          <w:t>приложения 1</w:t>
        </w:r>
      </w:hyperlink>
      <w:r w:rsidRPr="0074622E">
        <w:rPr>
          <w:rFonts w:ascii="Arial" w:eastAsia="Times New Roman" w:hAnsi="Arial" w:cs="Arial"/>
          <w:color w:val="444444"/>
          <w:sz w:val="24"/>
          <w:szCs w:val="24"/>
          <w:lang w:eastAsia="ru-RU"/>
        </w:rPr>
        <w:t>) только по желанию педагога;</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 способствовать повышению заинтересованности ОО в использовании объективных результатов региональных и федеральных оценочных процедур;</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 проводить разъяснительную работу с муниципальными органами управления образованием и руководителями ОО по вопросам повышения объективности оценки образовательных результатов и реализации перечисленных выше мер.</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 xml:space="preserve">Важным механизмом обеспечения объективности оценивания является </w:t>
      </w:r>
      <w:proofErr w:type="spellStart"/>
      <w:r w:rsidRPr="0074622E">
        <w:rPr>
          <w:rFonts w:ascii="Arial" w:eastAsia="Times New Roman" w:hAnsi="Arial" w:cs="Arial"/>
          <w:color w:val="444444"/>
          <w:sz w:val="24"/>
          <w:szCs w:val="24"/>
          <w:lang w:eastAsia="ru-RU"/>
        </w:rPr>
        <w:t>внутришкольная</w:t>
      </w:r>
      <w:proofErr w:type="spellEnd"/>
      <w:r w:rsidRPr="0074622E">
        <w:rPr>
          <w:rFonts w:ascii="Arial" w:eastAsia="Times New Roman" w:hAnsi="Arial" w:cs="Arial"/>
          <w:color w:val="444444"/>
          <w:sz w:val="24"/>
          <w:szCs w:val="24"/>
          <w:lang w:eastAsia="ru-RU"/>
        </w:rPr>
        <w:t xml:space="preserve"> система оценки образовательных результатов, способствующая </w:t>
      </w:r>
      <w:r w:rsidRPr="0074622E">
        <w:rPr>
          <w:rFonts w:ascii="Arial" w:eastAsia="Times New Roman" w:hAnsi="Arial" w:cs="Arial"/>
          <w:color w:val="444444"/>
          <w:sz w:val="24"/>
          <w:szCs w:val="24"/>
          <w:lang w:eastAsia="ru-RU"/>
        </w:rPr>
        <w:lastRenderedPageBreak/>
        <w:t>эффективному выполнению педагогами трудовой функции "</w:t>
      </w:r>
      <w:proofErr w:type="gramStart"/>
      <w:r w:rsidRPr="0074622E">
        <w:rPr>
          <w:rFonts w:ascii="Arial" w:eastAsia="Times New Roman" w:hAnsi="Arial" w:cs="Arial"/>
          <w:color w:val="444444"/>
          <w:sz w:val="24"/>
          <w:szCs w:val="24"/>
          <w:lang w:eastAsia="ru-RU"/>
        </w:rPr>
        <w:t>по объективной оценке</w:t>
      </w:r>
      <w:proofErr w:type="gramEnd"/>
      <w:r w:rsidRPr="0074622E">
        <w:rPr>
          <w:rFonts w:ascii="Arial" w:eastAsia="Times New Roman" w:hAnsi="Arial" w:cs="Arial"/>
          <w:color w:val="444444"/>
          <w:sz w:val="24"/>
          <w:szCs w:val="24"/>
          <w:lang w:eastAsia="ru-RU"/>
        </w:rPr>
        <w:t xml:space="preserve"> знаний обучающихся на основе тестирования и других методов контроля в соответствии с реальными учебными возможностями детей". Элементами такой сист</w:t>
      </w:r>
      <w:r>
        <w:rPr>
          <w:rFonts w:ascii="Arial" w:eastAsia="Times New Roman" w:hAnsi="Arial" w:cs="Arial"/>
          <w:color w:val="444444"/>
          <w:sz w:val="24"/>
          <w:szCs w:val="24"/>
          <w:lang w:eastAsia="ru-RU"/>
        </w:rPr>
        <w:t xml:space="preserve">емы в ОО являются, в том </w:t>
      </w:r>
      <w:proofErr w:type="gramStart"/>
      <w:r>
        <w:rPr>
          <w:rFonts w:ascii="Arial" w:eastAsia="Times New Roman" w:hAnsi="Arial" w:cs="Arial"/>
          <w:color w:val="444444"/>
          <w:sz w:val="24"/>
          <w:szCs w:val="24"/>
          <w:lang w:eastAsia="ru-RU"/>
        </w:rPr>
        <w:t>числе:</w:t>
      </w:r>
      <w:r w:rsidRPr="0074622E">
        <w:rPr>
          <w:rFonts w:ascii="Arial" w:eastAsia="Times New Roman" w:hAnsi="Arial" w:cs="Arial"/>
          <w:color w:val="444444"/>
          <w:sz w:val="24"/>
          <w:szCs w:val="24"/>
          <w:lang w:eastAsia="ru-RU"/>
        </w:rPr>
        <w:t>.</w:t>
      </w:r>
      <w:proofErr w:type="gramEnd"/>
      <w:r w:rsidRPr="0074622E">
        <w:rPr>
          <w:rFonts w:ascii="Arial" w:eastAsia="Times New Roman" w:hAnsi="Arial" w:cs="Arial"/>
          <w:color w:val="444444"/>
          <w:sz w:val="24"/>
          <w:szCs w:val="24"/>
          <w:lang w:eastAsia="ru-RU"/>
        </w:rPr>
        <w:t xml:space="preserve">     </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 положение о внутренней системе оценки качества подготовки обучающихся;</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 система регулярных независимых оценочных процедур, объективность результатов которых обеспечивает руководство ОО;</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 xml:space="preserve">- принятые в ОО прозрачные критерии </w:t>
      </w:r>
      <w:proofErr w:type="spellStart"/>
      <w:r w:rsidRPr="0074622E">
        <w:rPr>
          <w:rFonts w:ascii="Arial" w:eastAsia="Times New Roman" w:hAnsi="Arial" w:cs="Arial"/>
          <w:color w:val="444444"/>
          <w:sz w:val="24"/>
          <w:szCs w:val="24"/>
          <w:lang w:eastAsia="ru-RU"/>
        </w:rPr>
        <w:t>внутришкольного</w:t>
      </w:r>
      <w:proofErr w:type="spellEnd"/>
      <w:r w:rsidRPr="0074622E">
        <w:rPr>
          <w:rFonts w:ascii="Arial" w:eastAsia="Times New Roman" w:hAnsi="Arial" w:cs="Arial"/>
          <w:color w:val="444444"/>
          <w:sz w:val="24"/>
          <w:szCs w:val="24"/>
          <w:lang w:eastAsia="ru-RU"/>
        </w:rPr>
        <w:t xml:space="preserve"> текущего и итогового оценивания, обеспечивающие справедливую непротиворечивую оценку </w:t>
      </w:r>
      <w:proofErr w:type="gramStart"/>
      <w:r w:rsidRPr="0074622E">
        <w:rPr>
          <w:rFonts w:ascii="Arial" w:eastAsia="Times New Roman" w:hAnsi="Arial" w:cs="Arial"/>
          <w:color w:val="444444"/>
          <w:sz w:val="24"/>
          <w:szCs w:val="24"/>
          <w:lang w:eastAsia="ru-RU"/>
        </w:rPr>
        <w:t>образовательных результатов</w:t>
      </w:r>
      <w:proofErr w:type="gramEnd"/>
      <w:r w:rsidRPr="0074622E">
        <w:rPr>
          <w:rFonts w:ascii="Arial" w:eastAsia="Times New Roman" w:hAnsi="Arial" w:cs="Arial"/>
          <w:color w:val="444444"/>
          <w:sz w:val="24"/>
          <w:szCs w:val="24"/>
          <w:lang w:eastAsia="ru-RU"/>
        </w:rPr>
        <w:t xml:space="preserve"> обучающихся;</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 xml:space="preserve">- непрерывный процесс повышения квалификации учителей в области оценки результатов образования, включающий не только обучение на курсах повышения квалификации, но и </w:t>
      </w:r>
      <w:proofErr w:type="spellStart"/>
      <w:r w:rsidRPr="0074622E">
        <w:rPr>
          <w:rFonts w:ascii="Arial" w:eastAsia="Times New Roman" w:hAnsi="Arial" w:cs="Arial"/>
          <w:color w:val="444444"/>
          <w:sz w:val="24"/>
          <w:szCs w:val="24"/>
          <w:lang w:eastAsia="ru-RU"/>
        </w:rPr>
        <w:t>внутришкольное</w:t>
      </w:r>
      <w:proofErr w:type="spellEnd"/>
      <w:r w:rsidRPr="0074622E">
        <w:rPr>
          <w:rFonts w:ascii="Arial" w:eastAsia="Times New Roman" w:hAnsi="Arial" w:cs="Arial"/>
          <w:color w:val="444444"/>
          <w:sz w:val="24"/>
          <w:szCs w:val="24"/>
          <w:lang w:eastAsia="ru-RU"/>
        </w:rPr>
        <w:t xml:space="preserve"> обучение и самообразование;</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 проведение учителями и методическими объединениями аналитической экспертной работы с результатами оценочных процедур.</w:t>
      </w:r>
    </w:p>
    <w:p w:rsidR="0074622E" w:rsidRPr="0074622E" w:rsidRDefault="0074622E" w:rsidP="0074622E">
      <w:pPr>
        <w:spacing w:after="240" w:line="330" w:lineRule="atLeast"/>
        <w:jc w:val="right"/>
        <w:textAlignment w:val="baseline"/>
        <w:outlineLvl w:val="2"/>
        <w:rPr>
          <w:rFonts w:ascii="Arial" w:eastAsia="Times New Roman" w:hAnsi="Arial" w:cs="Arial"/>
          <w:b/>
          <w:bCs/>
          <w:color w:val="444444"/>
          <w:sz w:val="24"/>
          <w:szCs w:val="24"/>
          <w:lang w:eastAsia="ru-RU"/>
        </w:rPr>
      </w:pPr>
      <w:r w:rsidRPr="0074622E">
        <w:rPr>
          <w:rFonts w:ascii="Arial" w:eastAsia="Times New Roman" w:hAnsi="Arial" w:cs="Arial"/>
          <w:b/>
          <w:bCs/>
          <w:color w:val="444444"/>
          <w:sz w:val="24"/>
          <w:szCs w:val="24"/>
          <w:lang w:eastAsia="ru-RU"/>
        </w:rPr>
        <w:t>Приложение 1</w:t>
      </w:r>
    </w:p>
    <w:p w:rsidR="0074622E" w:rsidRPr="0074622E" w:rsidRDefault="0074622E" w:rsidP="0074622E">
      <w:pPr>
        <w:spacing w:after="240" w:line="330" w:lineRule="atLeast"/>
        <w:jc w:val="center"/>
        <w:textAlignment w:val="baseline"/>
        <w:rPr>
          <w:rFonts w:ascii="Arial" w:eastAsia="Times New Roman" w:hAnsi="Arial" w:cs="Arial"/>
          <w:b/>
          <w:bCs/>
          <w:color w:val="444444"/>
          <w:sz w:val="24"/>
          <w:szCs w:val="24"/>
          <w:lang w:eastAsia="ru-RU"/>
        </w:rPr>
      </w:pPr>
      <w:r w:rsidRPr="0074622E">
        <w:rPr>
          <w:rFonts w:ascii="Arial" w:eastAsia="Times New Roman" w:hAnsi="Arial" w:cs="Arial"/>
          <w:b/>
          <w:bCs/>
          <w:color w:val="444444"/>
          <w:sz w:val="24"/>
          <w:szCs w:val="24"/>
          <w:lang w:eastAsia="ru-RU"/>
        </w:rPr>
        <w:t>Рекомендации по организации и проведению независимых процедур оценки качества образования</w:t>
      </w:r>
    </w:p>
    <w:p w:rsidR="0074622E" w:rsidRPr="0074622E" w:rsidRDefault="0074622E" w:rsidP="0074622E">
      <w:pPr>
        <w:spacing w:after="240" w:line="330" w:lineRule="atLeast"/>
        <w:jc w:val="center"/>
        <w:textAlignment w:val="baseline"/>
        <w:outlineLvl w:val="3"/>
        <w:rPr>
          <w:rFonts w:ascii="Arial" w:eastAsia="Times New Roman" w:hAnsi="Arial" w:cs="Arial"/>
          <w:b/>
          <w:bCs/>
          <w:color w:val="444444"/>
          <w:sz w:val="24"/>
          <w:szCs w:val="24"/>
          <w:lang w:eastAsia="ru-RU"/>
        </w:rPr>
      </w:pPr>
      <w:r w:rsidRPr="0074622E">
        <w:rPr>
          <w:rFonts w:ascii="Arial" w:eastAsia="Times New Roman" w:hAnsi="Arial" w:cs="Arial"/>
          <w:b/>
          <w:bCs/>
          <w:color w:val="444444"/>
          <w:sz w:val="24"/>
          <w:szCs w:val="24"/>
          <w:lang w:eastAsia="ru-RU"/>
        </w:rPr>
        <w:t>Общие положения</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 xml:space="preserve">Важнейшим условием эффективного использования результатов оценочной процедуры является обеспечение на всех стадиях разработки, подготовки и проведения оценочной процедуры определенных условий, в том числе, обеспечения </w:t>
      </w:r>
      <w:proofErr w:type="spellStart"/>
      <w:r w:rsidRPr="0074622E">
        <w:rPr>
          <w:rFonts w:ascii="Arial" w:eastAsia="Times New Roman" w:hAnsi="Arial" w:cs="Arial"/>
          <w:color w:val="444444"/>
          <w:sz w:val="24"/>
          <w:szCs w:val="24"/>
          <w:lang w:eastAsia="ru-RU"/>
        </w:rPr>
        <w:t>валидности</w:t>
      </w:r>
      <w:proofErr w:type="spellEnd"/>
      <w:r w:rsidRPr="0074622E">
        <w:rPr>
          <w:rFonts w:ascii="Arial" w:eastAsia="Times New Roman" w:hAnsi="Arial" w:cs="Arial"/>
          <w:color w:val="444444"/>
          <w:sz w:val="24"/>
          <w:szCs w:val="24"/>
          <w:lang w:eastAsia="ru-RU"/>
        </w:rPr>
        <w:t xml:space="preserve"> инструментария по отношению к тому, что оценивается, и надежности процедур (разработки инструментария, проведения самих процедур, обработки и анализа результатов). Другим важным условием, позволяющим проводить эффективный анализ результатов оценочных процедур, является наличие четкого описания этих процедур, позволяющего точно интерпретировать полученные результаты.</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В методических рекомендациях изложены основные принципы, которым должны удовлетворять подготовка и проведение оценочных процедур, разработка инструментария для их проведения. Указанные принципы направлены на обеспечение объективности результатов оценочных процедур и эффективности их использования в целях принятия на их основе управленческих решений.</w:t>
      </w:r>
    </w:p>
    <w:p w:rsid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Настоящие рекомендации могут быть использованы при формировании системы оценки качества образования на уровне субъекта Российской Федерации, муниципалитета или на уровне образовательной организации.</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p>
    <w:p w:rsidR="0074622E" w:rsidRPr="0074622E" w:rsidRDefault="0074622E" w:rsidP="0074622E">
      <w:pPr>
        <w:spacing w:after="240" w:line="330" w:lineRule="atLeast"/>
        <w:jc w:val="center"/>
        <w:textAlignment w:val="baseline"/>
        <w:outlineLvl w:val="3"/>
        <w:rPr>
          <w:rFonts w:ascii="Arial" w:eastAsia="Times New Roman" w:hAnsi="Arial" w:cs="Arial"/>
          <w:b/>
          <w:bCs/>
          <w:color w:val="444444"/>
          <w:sz w:val="24"/>
          <w:szCs w:val="24"/>
          <w:lang w:eastAsia="ru-RU"/>
        </w:rPr>
      </w:pPr>
      <w:r w:rsidRPr="0074622E">
        <w:rPr>
          <w:rFonts w:ascii="Arial" w:eastAsia="Times New Roman" w:hAnsi="Arial" w:cs="Arial"/>
          <w:b/>
          <w:bCs/>
          <w:color w:val="444444"/>
          <w:sz w:val="24"/>
          <w:szCs w:val="24"/>
          <w:lang w:eastAsia="ru-RU"/>
        </w:rPr>
        <w:t>Инструктивно-методическое обеспечение процедур оценки качества образования</w:t>
      </w:r>
    </w:p>
    <w:p w:rsidR="0074622E" w:rsidRPr="0074622E" w:rsidRDefault="0074622E" w:rsidP="0074622E">
      <w:pPr>
        <w:spacing w:after="240" w:line="330" w:lineRule="atLeast"/>
        <w:jc w:val="center"/>
        <w:textAlignment w:val="baseline"/>
        <w:outlineLvl w:val="3"/>
        <w:rPr>
          <w:rFonts w:ascii="Arial" w:eastAsia="Times New Roman" w:hAnsi="Arial" w:cs="Arial"/>
          <w:b/>
          <w:bCs/>
          <w:color w:val="444444"/>
          <w:sz w:val="24"/>
          <w:szCs w:val="24"/>
          <w:lang w:eastAsia="ru-RU"/>
        </w:rPr>
      </w:pPr>
      <w:r w:rsidRPr="0074622E">
        <w:rPr>
          <w:rFonts w:ascii="Arial" w:eastAsia="Times New Roman" w:hAnsi="Arial" w:cs="Arial"/>
          <w:b/>
          <w:bCs/>
          <w:color w:val="444444"/>
          <w:sz w:val="24"/>
          <w:szCs w:val="24"/>
          <w:lang w:eastAsia="ru-RU"/>
        </w:rPr>
        <w:t>Концептуальное описание оценочной процедуры</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lastRenderedPageBreak/>
        <w:t>Основой для формирования системы инструктивно-методического обеспечения проведения оценочной процедуры является концептуальное описание этой процедуры, включающее обоснование подходов к разработке основных элементов оценочной процедуры и отраженное в соответствующем документе, например, в концепции оценочной процедуры. Концептуальное описание оценочной процедуры должно включать:</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1. Описание целей и задач проведения оценочной процедуры, групп участников оценочной процедуры.</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2. Установление периодичности и графика проведения оценочной процедуры в соответствии с ее целями и задачами.</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3. Описание методики формирования выборки участников оценочной процедуры. В первую очередь определяется, будет ли данная оценочная процедура выборочной или будет проводиться на генеральной совокупности участников. Методика формирования выборки участников оценочной процедуры определяется ее целями и выбранной степенью обобщения результатов. Выборка должна быть репрезентативна для всех групп категорий участников, на которые предполагается распространить выводы, полученные в ходе исследования.</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4. Описание подходов к выбору параметров, подлежащих оценке, для решения задач оценочной процедуры (например, результаты обучающихся в какой-либо предметной области, профессиональные компетенции учителей, условия ведения образовательной деятельности и т.п.).</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5. Обоснование выбора методов сбора информации при проведении оценочной процедуры в зависимости от ее целей и специфики (наблюдение, испытание, опрос, интервью, фокус-группы и т.д.) и соответствующего инструментария (диагностические работы, опросные листы, карты наблюдений и т.д.).</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6. Если оценочная процедура предполагает выполнение ее участниками, диагностической/контрольной работы:</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 описание подходов к отбору ее содержания в соответствии с целями проведения оценочной процедуры и параметрами, подлежащими оценке;</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 xml:space="preserve">- описание подходов к </w:t>
      </w:r>
      <w:proofErr w:type="spellStart"/>
      <w:r w:rsidRPr="0074622E">
        <w:rPr>
          <w:rFonts w:ascii="Arial" w:eastAsia="Times New Roman" w:hAnsi="Arial" w:cs="Arial"/>
          <w:color w:val="444444"/>
          <w:sz w:val="24"/>
          <w:szCs w:val="24"/>
          <w:lang w:eastAsia="ru-RU"/>
        </w:rPr>
        <w:t>операционализации</w:t>
      </w:r>
      <w:proofErr w:type="spellEnd"/>
      <w:r w:rsidRPr="0074622E">
        <w:rPr>
          <w:rFonts w:ascii="Arial" w:eastAsia="Times New Roman" w:hAnsi="Arial" w:cs="Arial"/>
          <w:color w:val="444444"/>
          <w:sz w:val="24"/>
          <w:szCs w:val="24"/>
          <w:lang w:eastAsia="ru-RU"/>
        </w:rPr>
        <w:t xml:space="preserve"> требований ФГОС соответствующего уровня образования и/или ФГКОС и/или профессиональных стандартов и т.п.; описание подходов к формированию кодификатора требований к уровню подготовки при проведении оценочной работы.</w:t>
      </w:r>
      <w:r w:rsidRPr="0074622E">
        <w:rPr>
          <w:rFonts w:ascii="Arial" w:eastAsia="Times New Roman" w:hAnsi="Arial" w:cs="Arial"/>
          <w:color w:val="444444"/>
          <w:sz w:val="24"/>
          <w:szCs w:val="24"/>
          <w:lang w:eastAsia="ru-RU"/>
        </w:rPr>
        <w:br/>
      </w:r>
    </w:p>
    <w:p w:rsidR="0074622E" w:rsidRPr="0074622E" w:rsidRDefault="0074622E" w:rsidP="0074622E">
      <w:pPr>
        <w:spacing w:after="0" w:line="330" w:lineRule="atLeast"/>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________________</w:t>
      </w:r>
      <w:r w:rsidRPr="0074622E">
        <w:rPr>
          <w:rFonts w:ascii="Arial" w:eastAsia="Times New Roman" w:hAnsi="Arial" w:cs="Arial"/>
          <w:color w:val="444444"/>
          <w:sz w:val="24"/>
          <w:szCs w:val="24"/>
          <w:lang w:eastAsia="ru-RU"/>
        </w:rPr>
        <w:br/>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 </w:t>
      </w:r>
      <w:hyperlink r:id="rId7" w:anchor="64U0IK" w:history="1">
        <w:r w:rsidRPr="0074622E">
          <w:rPr>
            <w:rFonts w:ascii="Arial" w:eastAsia="Times New Roman" w:hAnsi="Arial" w:cs="Arial"/>
            <w:color w:val="3451A0"/>
            <w:sz w:val="24"/>
            <w:szCs w:val="24"/>
            <w:u w:val="single"/>
            <w:lang w:eastAsia="ru-RU"/>
          </w:rPr>
          <w:t>Приказ Министерства образования и науки Российской Федерации от 06.10.2009 N 373</w:t>
        </w:r>
      </w:hyperlink>
      <w:r w:rsidRPr="0074622E">
        <w:rPr>
          <w:rFonts w:ascii="Arial" w:eastAsia="Times New Roman" w:hAnsi="Arial" w:cs="Arial"/>
          <w:color w:val="444444"/>
          <w:sz w:val="24"/>
          <w:szCs w:val="24"/>
          <w:lang w:eastAsia="ru-RU"/>
        </w:rPr>
        <w:t> (</w:t>
      </w:r>
      <w:proofErr w:type="spellStart"/>
      <w:r w:rsidRPr="0074622E">
        <w:rPr>
          <w:rFonts w:ascii="Arial" w:eastAsia="Times New Roman" w:hAnsi="Arial" w:cs="Arial"/>
          <w:color w:val="444444"/>
          <w:sz w:val="24"/>
          <w:szCs w:val="24"/>
          <w:lang w:eastAsia="ru-RU"/>
        </w:rPr>
        <w:t>ред.от</w:t>
      </w:r>
      <w:proofErr w:type="spellEnd"/>
      <w:r w:rsidRPr="0074622E">
        <w:rPr>
          <w:rFonts w:ascii="Arial" w:eastAsia="Times New Roman" w:hAnsi="Arial" w:cs="Arial"/>
          <w:color w:val="444444"/>
          <w:sz w:val="24"/>
          <w:szCs w:val="24"/>
          <w:lang w:eastAsia="ru-RU"/>
        </w:rPr>
        <w:t xml:space="preserve"> 31.12.2015) </w:t>
      </w:r>
      <w:hyperlink r:id="rId8" w:anchor="64U0IK" w:history="1">
        <w:r w:rsidRPr="0074622E">
          <w:rPr>
            <w:rFonts w:ascii="Arial" w:eastAsia="Times New Roman" w:hAnsi="Arial" w:cs="Arial"/>
            <w:color w:val="3451A0"/>
            <w:sz w:val="24"/>
            <w:szCs w:val="24"/>
            <w:u w:val="single"/>
            <w:lang w:eastAsia="ru-RU"/>
          </w:rPr>
          <w:t>"Об утверждении и введении в действие федерального государственного образовательного стандарта начального общего образования"</w:t>
        </w:r>
      </w:hyperlink>
      <w:r w:rsidRPr="0074622E">
        <w:rPr>
          <w:rFonts w:ascii="Arial" w:eastAsia="Times New Roman" w:hAnsi="Arial" w:cs="Arial"/>
          <w:color w:val="444444"/>
          <w:sz w:val="24"/>
          <w:szCs w:val="24"/>
          <w:lang w:eastAsia="ru-RU"/>
        </w:rPr>
        <w:t>.</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hyperlink r:id="rId9" w:anchor="64U0IK" w:history="1">
        <w:r w:rsidRPr="0074622E">
          <w:rPr>
            <w:rFonts w:ascii="Arial" w:eastAsia="Times New Roman" w:hAnsi="Arial" w:cs="Arial"/>
            <w:color w:val="3451A0"/>
            <w:sz w:val="24"/>
            <w:szCs w:val="24"/>
            <w:u w:val="single"/>
            <w:lang w:eastAsia="ru-RU"/>
          </w:rPr>
          <w:t>Приказ Министерства образования и науки Российской Федерации от 17.12.2010 N 1897</w:t>
        </w:r>
      </w:hyperlink>
      <w:r w:rsidRPr="0074622E">
        <w:rPr>
          <w:rFonts w:ascii="Arial" w:eastAsia="Times New Roman" w:hAnsi="Arial" w:cs="Arial"/>
          <w:color w:val="444444"/>
          <w:sz w:val="24"/>
          <w:szCs w:val="24"/>
          <w:lang w:eastAsia="ru-RU"/>
        </w:rPr>
        <w:t> (ред. от 31.05.2017) </w:t>
      </w:r>
      <w:hyperlink r:id="rId10" w:anchor="64U0IK" w:history="1">
        <w:r w:rsidRPr="0074622E">
          <w:rPr>
            <w:rFonts w:ascii="Arial" w:eastAsia="Times New Roman" w:hAnsi="Arial" w:cs="Arial"/>
            <w:color w:val="3451A0"/>
            <w:sz w:val="24"/>
            <w:szCs w:val="24"/>
            <w:u w:val="single"/>
            <w:lang w:eastAsia="ru-RU"/>
          </w:rPr>
          <w:t>"Об утверждении федерального государственного образовательного стандарта основного общего образования"</w:t>
        </w:r>
      </w:hyperlink>
      <w:r w:rsidRPr="0074622E">
        <w:rPr>
          <w:rFonts w:ascii="Arial" w:eastAsia="Times New Roman" w:hAnsi="Arial" w:cs="Arial"/>
          <w:color w:val="444444"/>
          <w:sz w:val="24"/>
          <w:szCs w:val="24"/>
          <w:lang w:eastAsia="ru-RU"/>
        </w:rPr>
        <w:t>.</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hyperlink r:id="rId11" w:anchor="64U0IK" w:history="1">
        <w:r w:rsidRPr="0074622E">
          <w:rPr>
            <w:rFonts w:ascii="Arial" w:eastAsia="Times New Roman" w:hAnsi="Arial" w:cs="Arial"/>
            <w:color w:val="3451A0"/>
            <w:sz w:val="24"/>
            <w:szCs w:val="24"/>
            <w:u w:val="single"/>
            <w:lang w:eastAsia="ru-RU"/>
          </w:rPr>
          <w:t>Приказ Министерства образования и науки Российской Федерации от 17.05.2012 N 413</w:t>
        </w:r>
      </w:hyperlink>
      <w:r w:rsidRPr="0074622E">
        <w:rPr>
          <w:rFonts w:ascii="Arial" w:eastAsia="Times New Roman" w:hAnsi="Arial" w:cs="Arial"/>
          <w:color w:val="444444"/>
          <w:sz w:val="24"/>
          <w:szCs w:val="24"/>
          <w:lang w:eastAsia="ru-RU"/>
        </w:rPr>
        <w:t> (ред. от 29.12.2015) </w:t>
      </w:r>
      <w:hyperlink r:id="rId12" w:anchor="64U0IK" w:history="1">
        <w:r w:rsidRPr="0074622E">
          <w:rPr>
            <w:rFonts w:ascii="Arial" w:eastAsia="Times New Roman" w:hAnsi="Arial" w:cs="Arial"/>
            <w:color w:val="3451A0"/>
            <w:sz w:val="24"/>
            <w:szCs w:val="24"/>
            <w:u w:val="single"/>
            <w:lang w:eastAsia="ru-RU"/>
          </w:rPr>
          <w:t>"Об утверждении федерального государственного образовательного стандарта среднего общего образования"</w:t>
        </w:r>
      </w:hyperlink>
      <w:r w:rsidRPr="0074622E">
        <w:rPr>
          <w:rFonts w:ascii="Arial" w:eastAsia="Times New Roman" w:hAnsi="Arial" w:cs="Arial"/>
          <w:color w:val="444444"/>
          <w:sz w:val="24"/>
          <w:szCs w:val="24"/>
          <w:lang w:eastAsia="ru-RU"/>
        </w:rPr>
        <w:t>.</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 </w:t>
      </w:r>
      <w:hyperlink r:id="rId13" w:anchor="64U0IK" w:history="1">
        <w:r w:rsidRPr="0074622E">
          <w:rPr>
            <w:rFonts w:ascii="Arial" w:eastAsia="Times New Roman" w:hAnsi="Arial" w:cs="Arial"/>
            <w:color w:val="3451A0"/>
            <w:sz w:val="24"/>
            <w:szCs w:val="24"/>
            <w:u w:val="single"/>
            <w:lang w:eastAsia="ru-RU"/>
          </w:rPr>
          <w:t>Приказ Министерства образования и науки Российской Федерации от 05.03.2004 N 1089</w:t>
        </w:r>
      </w:hyperlink>
      <w:r w:rsidRPr="0074622E">
        <w:rPr>
          <w:rFonts w:ascii="Arial" w:eastAsia="Times New Roman" w:hAnsi="Arial" w:cs="Arial"/>
          <w:color w:val="444444"/>
          <w:sz w:val="24"/>
          <w:szCs w:val="24"/>
          <w:lang w:eastAsia="ru-RU"/>
        </w:rPr>
        <w:t> (ред. от 07.06.2017) </w:t>
      </w:r>
      <w:hyperlink r:id="rId14" w:anchor="64U0IK" w:history="1">
        <w:r w:rsidRPr="0074622E">
          <w:rPr>
            <w:rFonts w:ascii="Arial" w:eastAsia="Times New Roman" w:hAnsi="Arial" w:cs="Arial"/>
            <w:color w:val="3451A0"/>
            <w:sz w:val="24"/>
            <w:szCs w:val="24"/>
            <w:u w:val="single"/>
            <w:lang w:eastAsia="ru-RU"/>
          </w:rPr>
          <w:t>"Об утверждении федерального компонента государственных стандартов начального общего, основного общего и среднего (полного) общего образования"</w:t>
        </w:r>
      </w:hyperlink>
      <w:r w:rsidRPr="0074622E">
        <w:rPr>
          <w:rFonts w:ascii="Arial" w:eastAsia="Times New Roman" w:hAnsi="Arial" w:cs="Arial"/>
          <w:color w:val="444444"/>
          <w:sz w:val="24"/>
          <w:szCs w:val="24"/>
          <w:lang w:eastAsia="ru-RU"/>
        </w:rPr>
        <w:t>.</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 </w:t>
      </w:r>
      <w:hyperlink r:id="rId15" w:anchor="6520IM" w:history="1">
        <w:r w:rsidRPr="0074622E">
          <w:rPr>
            <w:rFonts w:ascii="Arial" w:eastAsia="Times New Roman" w:hAnsi="Arial" w:cs="Arial"/>
            <w:color w:val="3451A0"/>
            <w:sz w:val="24"/>
            <w:szCs w:val="24"/>
            <w:u w:val="single"/>
            <w:lang w:eastAsia="ru-RU"/>
          </w:rPr>
          <w:t>Приказ Министерства труда и социальной защиты Российской Федерации от 18.10.2013 N 544н</w:t>
        </w:r>
      </w:hyperlink>
      <w:r w:rsidRPr="0074622E">
        <w:rPr>
          <w:rFonts w:ascii="Arial" w:eastAsia="Times New Roman" w:hAnsi="Arial" w:cs="Arial"/>
          <w:color w:val="444444"/>
          <w:sz w:val="24"/>
          <w:szCs w:val="24"/>
          <w:lang w:eastAsia="ru-RU"/>
        </w:rPr>
        <w:t> (ред. от 05.08.2016) </w:t>
      </w:r>
      <w:hyperlink r:id="rId16" w:anchor="6520IM" w:history="1">
        <w:r w:rsidRPr="0074622E">
          <w:rPr>
            <w:rFonts w:ascii="Arial" w:eastAsia="Times New Roman" w:hAnsi="Arial" w:cs="Arial"/>
            <w:color w:val="3451A0"/>
            <w:sz w:val="24"/>
            <w:szCs w:val="24"/>
            <w:u w:val="single"/>
            <w:lang w:eastAsia="ru-RU"/>
          </w:rPr>
          <w:t>"Об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hyperlink>
      <w:r w:rsidRPr="0074622E">
        <w:rPr>
          <w:rFonts w:ascii="Arial" w:eastAsia="Times New Roman" w:hAnsi="Arial" w:cs="Arial"/>
          <w:color w:val="444444"/>
          <w:sz w:val="24"/>
          <w:szCs w:val="24"/>
          <w:lang w:eastAsia="ru-RU"/>
        </w:rPr>
        <w:t>.</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При использовании готового кодификатора требований - подходы к его сопоставлению с требованиями ФГОС, ФКГОС, профессиональных стандартов и т.п.;</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 описание объектов контроля, модели оценки объектов контроля,</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 общие подходы к оцениванию выполнения участниками оценочной процедуры отдельных заданий и работы в целом.</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7. При наличии в составе инструментария листов наблюдения:</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 xml:space="preserve">- описание подходов к </w:t>
      </w:r>
      <w:proofErr w:type="spellStart"/>
      <w:r w:rsidRPr="0074622E">
        <w:rPr>
          <w:rFonts w:ascii="Arial" w:eastAsia="Times New Roman" w:hAnsi="Arial" w:cs="Arial"/>
          <w:color w:val="444444"/>
          <w:sz w:val="24"/>
          <w:szCs w:val="24"/>
          <w:lang w:eastAsia="ru-RU"/>
        </w:rPr>
        <w:t>операционализации</w:t>
      </w:r>
      <w:proofErr w:type="spellEnd"/>
      <w:r w:rsidRPr="0074622E">
        <w:rPr>
          <w:rFonts w:ascii="Arial" w:eastAsia="Times New Roman" w:hAnsi="Arial" w:cs="Arial"/>
          <w:color w:val="444444"/>
          <w:sz w:val="24"/>
          <w:szCs w:val="24"/>
          <w:lang w:eastAsia="ru-RU"/>
        </w:rPr>
        <w:t xml:space="preserve"> требований ФГОС (в том числе и дошкольного образования, если это соответствует целям исследования), профессионального стандарта и т.п. при определении структуры и содержания листов наблюдения. При использовании готового инструментария - подходы к его сопоставлению с требованиями ФГОС, ФКГОС, профессиональных стандартов и т.п.; о описание объектов наблюдения и моделей наблюдения, общие подходы к оцениванию результатов наблюдения.</w:t>
      </w:r>
      <w:r w:rsidRPr="0074622E">
        <w:rPr>
          <w:rFonts w:ascii="Arial" w:eastAsia="Times New Roman" w:hAnsi="Arial" w:cs="Arial"/>
          <w:color w:val="444444"/>
          <w:sz w:val="24"/>
          <w:szCs w:val="24"/>
          <w:lang w:eastAsia="ru-RU"/>
        </w:rPr>
        <w:br/>
      </w:r>
    </w:p>
    <w:p w:rsidR="0074622E" w:rsidRPr="0074622E" w:rsidRDefault="0074622E" w:rsidP="0074622E">
      <w:pPr>
        <w:spacing w:after="0" w:line="330" w:lineRule="atLeast"/>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________________</w:t>
      </w:r>
      <w:r w:rsidRPr="0074622E">
        <w:rPr>
          <w:rFonts w:ascii="Arial" w:eastAsia="Times New Roman" w:hAnsi="Arial" w:cs="Arial"/>
          <w:color w:val="444444"/>
          <w:sz w:val="24"/>
          <w:szCs w:val="24"/>
          <w:lang w:eastAsia="ru-RU"/>
        </w:rPr>
        <w:br/>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 </w:t>
      </w:r>
      <w:hyperlink r:id="rId17" w:anchor="64U0IK" w:history="1">
        <w:r w:rsidRPr="0074622E">
          <w:rPr>
            <w:rFonts w:ascii="Arial" w:eastAsia="Times New Roman" w:hAnsi="Arial" w:cs="Arial"/>
            <w:color w:val="3451A0"/>
            <w:sz w:val="24"/>
            <w:szCs w:val="24"/>
            <w:u w:val="single"/>
            <w:lang w:eastAsia="ru-RU"/>
          </w:rPr>
          <w:t xml:space="preserve">Приказ </w:t>
        </w:r>
        <w:proofErr w:type="spellStart"/>
        <w:r w:rsidRPr="0074622E">
          <w:rPr>
            <w:rFonts w:ascii="Arial" w:eastAsia="Times New Roman" w:hAnsi="Arial" w:cs="Arial"/>
            <w:color w:val="3451A0"/>
            <w:sz w:val="24"/>
            <w:szCs w:val="24"/>
            <w:u w:val="single"/>
            <w:lang w:eastAsia="ru-RU"/>
          </w:rPr>
          <w:t>Минобрнауки</w:t>
        </w:r>
        <w:proofErr w:type="spellEnd"/>
        <w:r w:rsidRPr="0074622E">
          <w:rPr>
            <w:rFonts w:ascii="Arial" w:eastAsia="Times New Roman" w:hAnsi="Arial" w:cs="Arial"/>
            <w:color w:val="3451A0"/>
            <w:sz w:val="24"/>
            <w:szCs w:val="24"/>
            <w:u w:val="single"/>
            <w:lang w:eastAsia="ru-RU"/>
          </w:rPr>
          <w:t xml:space="preserve"> России от 17.10.2013 N 1155 "Об утверждении федерального государственного образовательного стандарта дошкольного образования"</w:t>
        </w:r>
      </w:hyperlink>
      <w:r w:rsidRPr="0074622E">
        <w:rPr>
          <w:rFonts w:ascii="Arial" w:eastAsia="Times New Roman" w:hAnsi="Arial" w:cs="Arial"/>
          <w:color w:val="444444"/>
          <w:sz w:val="24"/>
          <w:szCs w:val="24"/>
          <w:lang w:eastAsia="ru-RU"/>
        </w:rPr>
        <w:t>.</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8. Описание подходов к апробации инструментария оценочной процедуры.</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 xml:space="preserve">9. Описание подходов к </w:t>
      </w:r>
      <w:proofErr w:type="spellStart"/>
      <w:r w:rsidRPr="0074622E">
        <w:rPr>
          <w:rFonts w:ascii="Arial" w:eastAsia="Times New Roman" w:hAnsi="Arial" w:cs="Arial"/>
          <w:color w:val="444444"/>
          <w:sz w:val="24"/>
          <w:szCs w:val="24"/>
          <w:lang w:eastAsia="ru-RU"/>
        </w:rPr>
        <w:t>шкалированию</w:t>
      </w:r>
      <w:proofErr w:type="spellEnd"/>
      <w:r w:rsidRPr="0074622E">
        <w:rPr>
          <w:rFonts w:ascii="Arial" w:eastAsia="Times New Roman" w:hAnsi="Arial" w:cs="Arial"/>
          <w:color w:val="444444"/>
          <w:sz w:val="24"/>
          <w:szCs w:val="24"/>
          <w:lang w:eastAsia="ru-RU"/>
        </w:rPr>
        <w:t xml:space="preserve"> результатов оценочной процедуры, если результаты предполагается переводить в единую шкалу.</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10. Описание набора сведений об образовательных организациях и/или участниках оценочной процедуры, условиях ведения образовательной деятельности, которые подлежат сбору в соответствии с целями проведения данной процедуры.</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11. Описание подходов к использованию алгоритмов обработки результатов оценочной процедуры.</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12. Перечень направлений анализа результатов оценочной процедуры, соответствующий ее целям.</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lastRenderedPageBreak/>
        <w:t>13. Модели использования результатов оценочной процедуры с указанием групп потребителей и круга возможных проблем, решению которых будет способствовать использование результатов.</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14. Механизм установления соответствия результатов заданным критериям (если это предусмотрено целями проведения оценочной процедуры).</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15. Описание путей обсуждения результатов оценочной процедуры экспертным сообществом и/или профессиональной общественностью.</w:t>
      </w:r>
    </w:p>
    <w:p w:rsid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В концептуальном документе, описывающем оценочную процедуру, могут содержаться и другие пункты, если это потребуется для достижения целей конкретной процедуры.</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p>
    <w:p w:rsidR="0074622E" w:rsidRPr="0074622E" w:rsidRDefault="0074622E" w:rsidP="0074622E">
      <w:pPr>
        <w:spacing w:after="240" w:line="330" w:lineRule="atLeast"/>
        <w:jc w:val="center"/>
        <w:textAlignment w:val="baseline"/>
        <w:outlineLvl w:val="3"/>
        <w:rPr>
          <w:rFonts w:ascii="Arial" w:eastAsia="Times New Roman" w:hAnsi="Arial" w:cs="Arial"/>
          <w:b/>
          <w:bCs/>
          <w:color w:val="444444"/>
          <w:sz w:val="24"/>
          <w:szCs w:val="24"/>
          <w:lang w:eastAsia="ru-RU"/>
        </w:rPr>
      </w:pPr>
      <w:r w:rsidRPr="0074622E">
        <w:rPr>
          <w:rFonts w:ascii="Arial" w:eastAsia="Times New Roman" w:hAnsi="Arial" w:cs="Arial"/>
          <w:b/>
          <w:bCs/>
          <w:color w:val="444444"/>
          <w:sz w:val="24"/>
          <w:szCs w:val="24"/>
          <w:lang w:eastAsia="ru-RU"/>
        </w:rPr>
        <w:t>Порядок проведения оценочной процедуры</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Порядок проведения оценочной процедуры должен соответствовать заявленным концептуальным подходам к ее проведению и включать описание всех направлений работ при проведении оценочной процедуры; описание организационно-технологического обеспечения всех этапов оценочной процедуры; описание кадрового обеспечения; описание действий всех категорий специалистов и участников в процессе проведения оценочной процедуры, план-график проведения оценочной процедуры, описание контрольных измерительных материалов для проведения оценочной процедуры или описание другого используемого инструментария.</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1. Описание этапов проведения оценочной процедуры, в том числе, должно содержать:</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 подготовка к проведению,</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 действия для формирования инструментария (разработка, приобретение, использование открытых материалов или иные варианты),</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 доставка и, при необходимости, хранение контрольных измерительных материалов, если предусмотрено их использование;</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 проведение оценочной процедуры;</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 обработка и анализ результатов;</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 обсуждение и использование результатов.</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2. Описание организационно-технологического обеспечения оценочной процедуры должно включать:</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 описание технологии проведения оценочной процедуры, включая описание технологии доставки, хранения и выдачи заданий участникам, технологии сбора и формирования базы результатов,</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 описание технологии оценивания развернутых ответов участников (если есть задания с развернутыми ответами);</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 описание технологии сбора контекстной и иной информации об образовательных организациях и участниках (если проводится);</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 описание технологии сбора результатов стандартизированного наблюдения (если проводится).</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lastRenderedPageBreak/>
        <w:t>3. Описание кадрового обеспечения оценочной процедуры, в том числе, должно содержать:</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 перечень категорий специалистов, участвующих в проведении оценочной процедуры, их роли и функции;</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 требования к квалификации и условиям допуска к работе для всех категорий специалистов, участвующих в проведении оценочной процедуры;</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 порядок отбора, подготовки и, при необходимости, аттестации специалистов всех категорий для участия в проведении оценочной процедуры;</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 описание действий всех категорий специалистов и участников в процессе проведения оценочной процедуры.</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4. Должны быть разработаны инструктивные материалы для участников и всех категорий специалистов:</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 отдельные документы для каждой категории специалистов, в которых описаны все действия каждого из специалистов;</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 документы для каждой категории участников, содержащие минимально необходимую информацию при проведении оценочной процедуры, инструкцию по выполнению заданий и контрольной (проверочной, диагностической и т.п.) работы в целом (если проводится); инструкцию по заполнению анкеты (при проведении анкетирования).</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5. План-график проведения оценочной процедуры, включающий мероприятия, сроки, ответственных.</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6. Описание контрольных измерительных материалов для проведения оценочной процедуры должно включать:</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 спецификацию (описание) контрольной (проверочной, диагностической и т.п.) работы, в которой указывается:</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 назначение работы;</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 документы, определяющие содержание работы;</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 структура работы;</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 кодификаторы проверяемых элементов содержания и требований к уровню подготовки участников;</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 распределение заданий работы по позициям кодификатора;</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 распределение заданий работы по уровню сложности;</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 типы заданий, сценарии выполнения заданий;</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 система оценивания выполнения отдельных заданий и работы в целом;</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 время выполнения работы;</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о описание дополнительных материалов и оборудования, необходимых для проведения работы; о рекомендации по подготовке к работе.</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 демонстрационный вариант работы, который является примером варианта, составленного в соответствии со спецификацией (описанием);</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 xml:space="preserve">- методику </w:t>
      </w:r>
      <w:proofErr w:type="spellStart"/>
      <w:r w:rsidRPr="0074622E">
        <w:rPr>
          <w:rFonts w:ascii="Arial" w:eastAsia="Times New Roman" w:hAnsi="Arial" w:cs="Arial"/>
          <w:color w:val="444444"/>
          <w:sz w:val="24"/>
          <w:szCs w:val="24"/>
          <w:lang w:eastAsia="ru-RU"/>
        </w:rPr>
        <w:t>шкалирования</w:t>
      </w:r>
      <w:proofErr w:type="spellEnd"/>
      <w:r w:rsidRPr="0074622E">
        <w:rPr>
          <w:rFonts w:ascii="Arial" w:eastAsia="Times New Roman" w:hAnsi="Arial" w:cs="Arial"/>
          <w:color w:val="444444"/>
          <w:sz w:val="24"/>
          <w:szCs w:val="24"/>
          <w:lang w:eastAsia="ru-RU"/>
        </w:rPr>
        <w:t>, в том числе перевода баллов, набранных участниками оценочной процедуры за выполнение работы, в пятибалльную или иную шкалу оценивания в соответствии с целями оценочной процедуры.</w:t>
      </w:r>
    </w:p>
    <w:p w:rsidR="0074622E" w:rsidRPr="0074622E" w:rsidRDefault="0074622E" w:rsidP="0074622E">
      <w:pPr>
        <w:spacing w:after="0" w:line="330" w:lineRule="atLeast"/>
        <w:ind w:firstLine="480"/>
        <w:textAlignment w:val="baseline"/>
        <w:rPr>
          <w:rFonts w:ascii="Arial" w:eastAsia="Times New Roman" w:hAnsi="Arial" w:cs="Arial"/>
          <w:color w:val="444444"/>
          <w:sz w:val="24"/>
          <w:szCs w:val="24"/>
          <w:lang w:eastAsia="ru-RU"/>
        </w:rPr>
      </w:pPr>
      <w:r w:rsidRPr="0074622E">
        <w:rPr>
          <w:rFonts w:ascii="Arial" w:eastAsia="Times New Roman" w:hAnsi="Arial" w:cs="Arial"/>
          <w:color w:val="444444"/>
          <w:sz w:val="24"/>
          <w:szCs w:val="24"/>
          <w:lang w:eastAsia="ru-RU"/>
        </w:rPr>
        <w:t>7. Описание инструментария для проведения стандартизированного наблюдения (если проводится):</w:t>
      </w:r>
    </w:p>
    <w:p w:rsidR="007D52B5" w:rsidRDefault="007D52B5"/>
    <w:sectPr w:rsidR="007D52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22E"/>
    <w:rsid w:val="0074622E"/>
    <w:rsid w:val="007D5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33D7D-E21D-4733-80F3-F5F648CFD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023246">
      <w:bodyDiv w:val="1"/>
      <w:marLeft w:val="0"/>
      <w:marRight w:val="0"/>
      <w:marTop w:val="0"/>
      <w:marBottom w:val="0"/>
      <w:divBdr>
        <w:top w:val="none" w:sz="0" w:space="0" w:color="auto"/>
        <w:left w:val="none" w:sz="0" w:space="0" w:color="auto"/>
        <w:bottom w:val="none" w:sz="0" w:space="0" w:color="auto"/>
        <w:right w:val="none" w:sz="0" w:space="0" w:color="auto"/>
      </w:divBdr>
      <w:divsChild>
        <w:div w:id="328220811">
          <w:marLeft w:val="0"/>
          <w:marRight w:val="0"/>
          <w:marTop w:val="0"/>
          <w:marBottom w:val="0"/>
          <w:divBdr>
            <w:top w:val="none" w:sz="0" w:space="0" w:color="auto"/>
            <w:left w:val="none" w:sz="0" w:space="0" w:color="auto"/>
            <w:bottom w:val="none" w:sz="0" w:space="0" w:color="auto"/>
            <w:right w:val="none" w:sz="0" w:space="0" w:color="auto"/>
          </w:divBdr>
          <w:divsChild>
            <w:div w:id="909388550">
              <w:marLeft w:val="0"/>
              <w:marRight w:val="0"/>
              <w:marTop w:val="0"/>
              <w:marBottom w:val="0"/>
              <w:divBdr>
                <w:top w:val="none" w:sz="0" w:space="0" w:color="auto"/>
                <w:left w:val="none" w:sz="0" w:space="0" w:color="auto"/>
                <w:bottom w:val="none" w:sz="0" w:space="0" w:color="auto"/>
                <w:right w:val="none" w:sz="0" w:space="0" w:color="auto"/>
              </w:divBdr>
              <w:divsChild>
                <w:div w:id="841821449">
                  <w:marLeft w:val="0"/>
                  <w:marRight w:val="0"/>
                  <w:marTop w:val="0"/>
                  <w:marBottom w:val="0"/>
                  <w:divBdr>
                    <w:top w:val="none" w:sz="0" w:space="0" w:color="auto"/>
                    <w:left w:val="none" w:sz="0" w:space="0" w:color="auto"/>
                    <w:bottom w:val="none" w:sz="0" w:space="0" w:color="auto"/>
                    <w:right w:val="none" w:sz="0" w:space="0" w:color="auto"/>
                  </w:divBdr>
                  <w:divsChild>
                    <w:div w:id="1046875575">
                      <w:marLeft w:val="0"/>
                      <w:marRight w:val="0"/>
                      <w:marTop w:val="0"/>
                      <w:marBottom w:val="0"/>
                      <w:divBdr>
                        <w:top w:val="none" w:sz="0" w:space="0" w:color="auto"/>
                        <w:left w:val="none" w:sz="0" w:space="0" w:color="auto"/>
                        <w:bottom w:val="none" w:sz="0" w:space="0" w:color="auto"/>
                        <w:right w:val="none" w:sz="0" w:space="0" w:color="auto"/>
                      </w:divBdr>
                      <w:divsChild>
                        <w:div w:id="670136330">
                          <w:marLeft w:val="0"/>
                          <w:marRight w:val="0"/>
                          <w:marTop w:val="0"/>
                          <w:marBottom w:val="0"/>
                          <w:divBdr>
                            <w:top w:val="none" w:sz="0" w:space="0" w:color="auto"/>
                            <w:left w:val="none" w:sz="0" w:space="0" w:color="auto"/>
                            <w:bottom w:val="none" w:sz="0" w:space="0" w:color="auto"/>
                            <w:right w:val="none" w:sz="0" w:space="0" w:color="auto"/>
                          </w:divBdr>
                          <w:divsChild>
                            <w:div w:id="1450590307">
                              <w:marLeft w:val="0"/>
                              <w:marRight w:val="0"/>
                              <w:marTop w:val="0"/>
                              <w:marBottom w:val="0"/>
                              <w:divBdr>
                                <w:top w:val="none" w:sz="0" w:space="0" w:color="auto"/>
                                <w:left w:val="none" w:sz="0" w:space="0" w:color="auto"/>
                                <w:bottom w:val="none" w:sz="0" w:space="0" w:color="auto"/>
                                <w:right w:val="none" w:sz="0" w:space="0" w:color="auto"/>
                              </w:divBdr>
                              <w:divsChild>
                                <w:div w:id="374503691">
                                  <w:marLeft w:val="0"/>
                                  <w:marRight w:val="0"/>
                                  <w:marTop w:val="0"/>
                                  <w:marBottom w:val="0"/>
                                  <w:divBdr>
                                    <w:top w:val="none" w:sz="0" w:space="0" w:color="auto"/>
                                    <w:left w:val="none" w:sz="0" w:space="0" w:color="auto"/>
                                    <w:bottom w:val="none" w:sz="0" w:space="0" w:color="auto"/>
                                    <w:right w:val="none" w:sz="0" w:space="0" w:color="auto"/>
                                  </w:divBdr>
                                  <w:divsChild>
                                    <w:div w:id="1673684609">
                                      <w:marLeft w:val="0"/>
                                      <w:marRight w:val="0"/>
                                      <w:marTop w:val="0"/>
                                      <w:marBottom w:val="0"/>
                                      <w:divBdr>
                                        <w:top w:val="none" w:sz="0" w:space="0" w:color="auto"/>
                                        <w:left w:val="none" w:sz="0" w:space="0" w:color="auto"/>
                                        <w:bottom w:val="none" w:sz="0" w:space="0" w:color="auto"/>
                                        <w:right w:val="none" w:sz="0" w:space="0" w:color="auto"/>
                                      </w:divBdr>
                                      <w:divsChild>
                                        <w:div w:id="146365502">
                                          <w:marLeft w:val="0"/>
                                          <w:marRight w:val="0"/>
                                          <w:marTop w:val="0"/>
                                          <w:marBottom w:val="0"/>
                                          <w:divBdr>
                                            <w:top w:val="none" w:sz="0" w:space="0" w:color="auto"/>
                                            <w:left w:val="none" w:sz="0" w:space="0" w:color="auto"/>
                                            <w:bottom w:val="none" w:sz="0" w:space="0" w:color="auto"/>
                                            <w:right w:val="none" w:sz="0" w:space="0" w:color="auto"/>
                                          </w:divBdr>
                                          <w:divsChild>
                                            <w:div w:id="1140224269">
                                              <w:marLeft w:val="0"/>
                                              <w:marRight w:val="0"/>
                                              <w:marTop w:val="0"/>
                                              <w:marBottom w:val="0"/>
                                              <w:divBdr>
                                                <w:top w:val="none" w:sz="0" w:space="0" w:color="auto"/>
                                                <w:left w:val="none" w:sz="0" w:space="0" w:color="auto"/>
                                                <w:bottom w:val="none" w:sz="0" w:space="0" w:color="auto"/>
                                                <w:right w:val="none" w:sz="0" w:space="0" w:color="auto"/>
                                              </w:divBdr>
                                              <w:divsChild>
                                                <w:div w:id="235674097">
                                                  <w:marLeft w:val="0"/>
                                                  <w:marRight w:val="0"/>
                                                  <w:marTop w:val="0"/>
                                                  <w:marBottom w:val="0"/>
                                                  <w:divBdr>
                                                    <w:top w:val="none" w:sz="0" w:space="0" w:color="auto"/>
                                                    <w:left w:val="none" w:sz="0" w:space="0" w:color="auto"/>
                                                    <w:bottom w:val="none" w:sz="0" w:space="0" w:color="auto"/>
                                                    <w:right w:val="none" w:sz="0" w:space="0" w:color="auto"/>
                                                  </w:divBdr>
                                                  <w:divsChild>
                                                    <w:div w:id="3374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0202">
                                              <w:marLeft w:val="0"/>
                                              <w:marRight w:val="0"/>
                                              <w:marTop w:val="0"/>
                                              <w:marBottom w:val="0"/>
                                              <w:divBdr>
                                                <w:top w:val="none" w:sz="0" w:space="0" w:color="auto"/>
                                                <w:left w:val="none" w:sz="0" w:space="0" w:color="auto"/>
                                                <w:bottom w:val="none" w:sz="0" w:space="0" w:color="auto"/>
                                                <w:right w:val="none" w:sz="0" w:space="0" w:color="auto"/>
                                              </w:divBdr>
                                              <w:divsChild>
                                                <w:div w:id="1534417605">
                                                  <w:marLeft w:val="0"/>
                                                  <w:marRight w:val="0"/>
                                                  <w:marTop w:val="0"/>
                                                  <w:marBottom w:val="0"/>
                                                  <w:divBdr>
                                                    <w:top w:val="none" w:sz="0" w:space="0" w:color="auto"/>
                                                    <w:left w:val="none" w:sz="0" w:space="0" w:color="auto"/>
                                                    <w:bottom w:val="none" w:sz="0" w:space="0" w:color="auto"/>
                                                    <w:right w:val="none" w:sz="0" w:space="0" w:color="auto"/>
                                                  </w:divBdr>
                                                  <w:divsChild>
                                                    <w:div w:id="4369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180656" TargetMode="External"/><Relationship Id="rId13" Type="http://schemas.openxmlformats.org/officeDocument/2006/relationships/hyperlink" Target="https://docs.cntd.ru/document/901895865"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cntd.ru/document/902180656" TargetMode="External"/><Relationship Id="rId12" Type="http://schemas.openxmlformats.org/officeDocument/2006/relationships/hyperlink" Target="https://docs.cntd.ru/document/902350579" TargetMode="External"/><Relationship Id="rId17" Type="http://schemas.openxmlformats.org/officeDocument/2006/relationships/hyperlink" Target="https://docs.cntd.ru/document/499057887" TargetMode="External"/><Relationship Id="rId2" Type="http://schemas.openxmlformats.org/officeDocument/2006/relationships/settings" Target="settings.xml"/><Relationship Id="rId16" Type="http://schemas.openxmlformats.org/officeDocument/2006/relationships/hyperlink" Target="https://docs.cntd.ru/document/499053710" TargetMode="External"/><Relationship Id="rId1" Type="http://schemas.openxmlformats.org/officeDocument/2006/relationships/styles" Target="styles.xml"/><Relationship Id="rId6" Type="http://schemas.openxmlformats.org/officeDocument/2006/relationships/hyperlink" Target="https://docs.cntd.ru/document/557087324" TargetMode="External"/><Relationship Id="rId11" Type="http://schemas.openxmlformats.org/officeDocument/2006/relationships/hyperlink" Target="https://docs.cntd.ru/document/902350579" TargetMode="External"/><Relationship Id="rId5" Type="http://schemas.openxmlformats.org/officeDocument/2006/relationships/hyperlink" Target="https://docs.cntd.ru/document/557087324" TargetMode="External"/><Relationship Id="rId15" Type="http://schemas.openxmlformats.org/officeDocument/2006/relationships/hyperlink" Target="https://docs.cntd.ru/document/499053710" TargetMode="External"/><Relationship Id="rId10" Type="http://schemas.openxmlformats.org/officeDocument/2006/relationships/hyperlink" Target="https://docs.cntd.ru/document/902254916" TargetMode="External"/><Relationship Id="rId19" Type="http://schemas.openxmlformats.org/officeDocument/2006/relationships/theme" Target="theme/theme1.xml"/><Relationship Id="rId4" Type="http://schemas.openxmlformats.org/officeDocument/2006/relationships/hyperlink" Target="https://docs.cntd.ru/document/557087324" TargetMode="External"/><Relationship Id="rId9" Type="http://schemas.openxmlformats.org/officeDocument/2006/relationships/hyperlink" Target="https://docs.cntd.ru/document/902254916" TargetMode="External"/><Relationship Id="rId14" Type="http://schemas.openxmlformats.org/officeDocument/2006/relationships/hyperlink" Target="https://docs.cntd.ru/document/9018958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2978</Words>
  <Characters>16977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cp:revision>
  <dcterms:created xsi:type="dcterms:W3CDTF">2021-11-03T14:59:00Z</dcterms:created>
  <dcterms:modified xsi:type="dcterms:W3CDTF">2021-11-03T15:06:00Z</dcterms:modified>
</cp:coreProperties>
</file>